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bCs/>
          <w:color w:val="auto"/>
          <w:sz w:val="44"/>
          <w:szCs w:val="44"/>
        </w:rPr>
      </w:pPr>
      <w:r>
        <w:rPr>
          <w:rFonts w:hint="eastAsia" w:cs="仿宋_GB2312" w:asciiTheme="minorEastAsia" w:hAnsiTheme="minorEastAsia"/>
          <w:b/>
          <w:bCs/>
          <w:color w:val="auto"/>
          <w:sz w:val="44"/>
          <w:szCs w:val="44"/>
        </w:rPr>
        <w:t>评分</w:t>
      </w:r>
      <w:r>
        <w:rPr>
          <w:rFonts w:hint="eastAsia" w:cs="仿宋_GB2312" w:asciiTheme="minorEastAsia" w:hAnsiTheme="minorEastAsia"/>
          <w:b/>
          <w:bCs/>
          <w:color w:val="auto"/>
          <w:sz w:val="44"/>
          <w:szCs w:val="44"/>
          <w:lang w:val="en-US" w:eastAsia="zh-CN"/>
        </w:rPr>
        <w:t>及中标人产生</w:t>
      </w:r>
      <w:r>
        <w:rPr>
          <w:rFonts w:hint="eastAsia" w:cs="仿宋_GB2312" w:asciiTheme="minorEastAsia" w:hAnsiTheme="minorEastAsia"/>
          <w:b/>
          <w:bCs/>
          <w:color w:val="auto"/>
          <w:sz w:val="44"/>
          <w:szCs w:val="44"/>
        </w:rPr>
        <w:t>办法</w:t>
      </w:r>
    </w:p>
    <w:p>
      <w:pPr>
        <w:jc w:val="both"/>
        <w:rPr>
          <w:rFonts w:cs="仿宋_GB2312" w:asciiTheme="minorEastAsia" w:hAnsiTheme="minorEastAsia"/>
          <w:color w:val="auto"/>
          <w:sz w:val="32"/>
          <w:szCs w:val="32"/>
        </w:rPr>
      </w:pPr>
    </w:p>
    <w:p>
      <w:pPr>
        <w:pStyle w:val="11"/>
        <w:ind w:firstLine="640" w:firstLineChars="200"/>
        <w:rPr>
          <w:rFonts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1、本次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招标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评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办法采用“综合评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”法，满分100分，其中商务技术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50分，价格分50分。</w:t>
      </w:r>
    </w:p>
    <w:p>
      <w:pPr>
        <w:pStyle w:val="10"/>
        <w:ind w:firstLine="640" w:firstLineChars="200"/>
        <w:rPr>
          <w:rFonts w:hint="eastAsia"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2、评标活动遵循“公开、公平、公正、诚信、择优”的原则进行。</w:t>
      </w:r>
    </w:p>
    <w:p>
      <w:pPr>
        <w:pStyle w:val="11"/>
        <w:ind w:firstLine="640" w:firstLineChars="200"/>
        <w:rPr>
          <w:rFonts w:hint="eastAsia"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、评标人对投标文件要求进行符合性评定，经评定符合标准的投标人可进入评标打分阶段，否则为无效标。</w:t>
      </w:r>
    </w:p>
    <w:p>
      <w:pPr>
        <w:pStyle w:val="10"/>
        <w:ind w:firstLine="640" w:firstLineChars="200"/>
        <w:rPr>
          <w:rFonts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、评标小组将综合分析投标人的各项指标，而不以单项指标的优劣评出中标人。</w:t>
      </w:r>
    </w:p>
    <w:p>
      <w:pPr>
        <w:pStyle w:val="11"/>
        <w:ind w:firstLine="640" w:firstLineChars="200"/>
        <w:rPr>
          <w:rFonts w:hint="eastAsia"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5、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评分计算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办法：</w:t>
      </w:r>
    </w:p>
    <w:p>
      <w:pPr>
        <w:pStyle w:val="11"/>
        <w:ind w:firstLine="0" w:firstLineChars="0"/>
        <w:rPr>
          <w:rFonts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①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综合得分=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商务技术分+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价格分</w:t>
      </w:r>
    </w:p>
    <w:p>
      <w:pPr>
        <w:ind w:left="315" w:firstLine="320" w:firstLineChars="100"/>
        <w:rPr>
          <w:rFonts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②商务技术分按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商务评分标准由评标小组人员打分计算得分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；</w:t>
      </w:r>
    </w:p>
    <w:p>
      <w:pPr>
        <w:ind w:left="315" w:firstLine="320" w:firstLineChars="1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③价格分由工作人员统一计算得分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评标基准值＝有效投标人最低报价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纯电动车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包干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价格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得分=评标基准值/投标人报价×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35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（各类车型的平均值）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spacing w:line="276" w:lineRule="auto"/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混动车、CNG车、柴油车、汽油车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工时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包干价格得分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＝评标基准值/投标人报价×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（各类车型的平均值）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大宗物资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价格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分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（最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低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报价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为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评标基准值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，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不得超出市场价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）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大宗物资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价格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得分＝评标基准值/投标人报价×10（各类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物资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的平均值）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color w:val="auto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6、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综合得分最高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的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为中标人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。</w:t>
      </w:r>
    </w:p>
    <w:p>
      <w:pPr>
        <w:rPr>
          <w:rFonts w:cs="仿宋_GB2312" w:asciiTheme="minorEastAsia" w:hAnsiTheme="minorEastAsia"/>
          <w:b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b/>
          <w:color w:val="auto"/>
          <w:sz w:val="32"/>
          <w:szCs w:val="32"/>
        </w:rPr>
        <w:t>商务技术分（50分）</w:t>
      </w:r>
    </w:p>
    <w:tbl>
      <w:tblPr>
        <w:tblStyle w:val="6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785"/>
        <w:gridCol w:w="10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最高分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维修资质</w:t>
            </w: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 xml:space="preserve">具有一类客车维修资质得 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 xml:space="preserve"> 具有二类客车维修资质的得 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240" w:firstLineChars="1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具有招标人所有运行车辆品牌三包售后服务资质得 3分，差一家扣0.5分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具有IS09000系列质量认证、安全生产标准化达标等级证明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分，缺一扣2分。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能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提供无偿紧急救援服务，有专人负责得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3分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达不到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。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能在招标方站场派驻站维修人员得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达不到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能在招标方站场储备配件得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达不到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有自主产权的施救车辆，1辆得1分，最高2分。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维修场地、设备</w:t>
            </w: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投标人在竟标标段站场区域内应具备独立的维修场地（含一、二级维护作业场地及设备），维修场地必须设立在本标段车辆运行首末站或周边附近10公里范围内；维修场地及设备符合《中华人民共和国国家标准》汽车整车维修企业（GB/T16739.1）标准要求。并取得维修行业主管部门出具有效的二类（含）以上《中华人民共和国机动车维修经营许可证》或行业管理部门审批备案许可的机动车维修经营备案证明，二级维护作业资质说明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得20分，其中任何一项未达要求为0分。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技术资格</w:t>
            </w: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76" w:lineRule="auto"/>
              <w:ind w:firstLine="240" w:firstLineChars="1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1、有一名高级技工的得0.5分，最多得4分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76" w:lineRule="auto"/>
              <w:ind w:firstLine="240" w:firstLineChars="1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2、有一名中级技师的得1分，最多得3分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76" w:lineRule="auto"/>
              <w:ind w:firstLine="240" w:firstLineChars="1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3、有一名高级技师的得1分，最多得3分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76" w:lineRule="auto"/>
              <w:ind w:firstLine="240" w:firstLineChars="1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4、以上需含有新能源车辆低压、高压电工作业证。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pStyle w:val="2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</w:p>
    <w:p>
      <w:pPr>
        <w:pStyle w:val="2"/>
        <w:rPr>
          <w:color w:val="auto"/>
        </w:rPr>
      </w:pPr>
    </w:p>
    <w:tbl>
      <w:tblPr>
        <w:tblStyle w:val="6"/>
        <w:tblpPr w:leftFromText="180" w:rightFromText="180" w:vertAnchor="text" w:horzAnchor="margin" w:tblpY="616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076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6" w:type="dxa"/>
          <w:trHeight w:val="567" w:hRule="atLeast"/>
        </w:trPr>
        <w:tc>
          <w:tcPr>
            <w:tcW w:w="77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auto"/>
                <w:kern w:val="0"/>
                <w:sz w:val="32"/>
                <w:szCs w:val="32"/>
              </w:rPr>
              <w:t>价格分（50）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120" w:firstLineChars="50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最高分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新能源车包干价格报价</w:t>
            </w:r>
          </w:p>
        </w:tc>
        <w:tc>
          <w:tcPr>
            <w:tcW w:w="6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纯电动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车包干价格得分＝评标基准值/投标人报价×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（各类车型的平均值）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传统能源车工时费报价</w:t>
            </w:r>
          </w:p>
        </w:tc>
        <w:tc>
          <w:tcPr>
            <w:tcW w:w="6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混动车、CNG车、柴油车、汽油车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车工时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包干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价格得分＝评标基准值/投标人报价×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（各类车型的平均值）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大宗物资报价</w:t>
            </w:r>
          </w:p>
        </w:tc>
        <w:tc>
          <w:tcPr>
            <w:tcW w:w="60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大宗物资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得分＝评标基准值/投标人报价×10</w:t>
            </w:r>
          </w:p>
          <w:p>
            <w:pPr>
              <w:spacing w:line="276" w:lineRule="auto"/>
              <w:ind w:left="315"/>
              <w:jc w:val="center"/>
              <w:rPr>
                <w:rFonts w:hint="default" w:cs="仿宋_GB2312" w:asciiTheme="minorEastAsia" w:hAnsiTheme="minorEastAsia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（各类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物资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的平均值）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合计得分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pStyle w:val="2"/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417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NjBiMGU1ZWJjNTdjNjNkYWQxNmQ5YWM2YTE2MDEifQ=="/>
  </w:docVars>
  <w:rsids>
    <w:rsidRoot w:val="00D907CB"/>
    <w:rsid w:val="000049EF"/>
    <w:rsid w:val="000053AC"/>
    <w:rsid w:val="00025392"/>
    <w:rsid w:val="000377FB"/>
    <w:rsid w:val="00092E9A"/>
    <w:rsid w:val="000B43AF"/>
    <w:rsid w:val="0010624C"/>
    <w:rsid w:val="001207C4"/>
    <w:rsid w:val="00133BC4"/>
    <w:rsid w:val="00136838"/>
    <w:rsid w:val="001372E6"/>
    <w:rsid w:val="001401EC"/>
    <w:rsid w:val="00153BA7"/>
    <w:rsid w:val="0017143E"/>
    <w:rsid w:val="0018375B"/>
    <w:rsid w:val="001C6F3D"/>
    <w:rsid w:val="001E0B81"/>
    <w:rsid w:val="002202C0"/>
    <w:rsid w:val="00270218"/>
    <w:rsid w:val="002964CC"/>
    <w:rsid w:val="002C2120"/>
    <w:rsid w:val="002D1AAF"/>
    <w:rsid w:val="002D41B1"/>
    <w:rsid w:val="002E1BAB"/>
    <w:rsid w:val="003103FA"/>
    <w:rsid w:val="0036074E"/>
    <w:rsid w:val="0037726E"/>
    <w:rsid w:val="003B20C4"/>
    <w:rsid w:val="003C7D41"/>
    <w:rsid w:val="003D0500"/>
    <w:rsid w:val="00415361"/>
    <w:rsid w:val="004358BA"/>
    <w:rsid w:val="00436B69"/>
    <w:rsid w:val="00566E59"/>
    <w:rsid w:val="005872A5"/>
    <w:rsid w:val="005A1F28"/>
    <w:rsid w:val="005B4B9E"/>
    <w:rsid w:val="006234FF"/>
    <w:rsid w:val="00623FCA"/>
    <w:rsid w:val="00653DFB"/>
    <w:rsid w:val="00672E8C"/>
    <w:rsid w:val="00685D8F"/>
    <w:rsid w:val="006D356D"/>
    <w:rsid w:val="006E52F7"/>
    <w:rsid w:val="0072035A"/>
    <w:rsid w:val="007B68BD"/>
    <w:rsid w:val="007E5F8D"/>
    <w:rsid w:val="007F472E"/>
    <w:rsid w:val="00827F63"/>
    <w:rsid w:val="00836C89"/>
    <w:rsid w:val="008459AC"/>
    <w:rsid w:val="00887FFC"/>
    <w:rsid w:val="008C450B"/>
    <w:rsid w:val="008E278E"/>
    <w:rsid w:val="008F3489"/>
    <w:rsid w:val="00933CC8"/>
    <w:rsid w:val="009443EA"/>
    <w:rsid w:val="009521FB"/>
    <w:rsid w:val="00967033"/>
    <w:rsid w:val="009744DD"/>
    <w:rsid w:val="009B150F"/>
    <w:rsid w:val="009B4B78"/>
    <w:rsid w:val="009C1BCC"/>
    <w:rsid w:val="009F6329"/>
    <w:rsid w:val="00A72391"/>
    <w:rsid w:val="00AA0F55"/>
    <w:rsid w:val="00AA2717"/>
    <w:rsid w:val="00AB5329"/>
    <w:rsid w:val="00AD1ADF"/>
    <w:rsid w:val="00AE0853"/>
    <w:rsid w:val="00B7695E"/>
    <w:rsid w:val="00BA40AD"/>
    <w:rsid w:val="00BD6549"/>
    <w:rsid w:val="00C051FA"/>
    <w:rsid w:val="00C64512"/>
    <w:rsid w:val="00C73FEE"/>
    <w:rsid w:val="00C91947"/>
    <w:rsid w:val="00CF63F1"/>
    <w:rsid w:val="00D45FF5"/>
    <w:rsid w:val="00D8725B"/>
    <w:rsid w:val="00D907CB"/>
    <w:rsid w:val="00DB1E09"/>
    <w:rsid w:val="00DD1643"/>
    <w:rsid w:val="00DE5DE7"/>
    <w:rsid w:val="00DF6495"/>
    <w:rsid w:val="00E24DE9"/>
    <w:rsid w:val="00E8444D"/>
    <w:rsid w:val="00EC570F"/>
    <w:rsid w:val="00EF6B3A"/>
    <w:rsid w:val="00F03819"/>
    <w:rsid w:val="00F20555"/>
    <w:rsid w:val="00F444CF"/>
    <w:rsid w:val="00F45091"/>
    <w:rsid w:val="00F67584"/>
    <w:rsid w:val="00F72D20"/>
    <w:rsid w:val="00FB1863"/>
    <w:rsid w:val="00FB29AD"/>
    <w:rsid w:val="026D30FA"/>
    <w:rsid w:val="07677D00"/>
    <w:rsid w:val="0A92134D"/>
    <w:rsid w:val="0AA63083"/>
    <w:rsid w:val="0C762CD4"/>
    <w:rsid w:val="0DA039A6"/>
    <w:rsid w:val="0E451BD5"/>
    <w:rsid w:val="0E9A6FC5"/>
    <w:rsid w:val="0EE859DF"/>
    <w:rsid w:val="11621A79"/>
    <w:rsid w:val="1211524D"/>
    <w:rsid w:val="15EA028F"/>
    <w:rsid w:val="179C7F61"/>
    <w:rsid w:val="186E5BC9"/>
    <w:rsid w:val="1C4F709D"/>
    <w:rsid w:val="1CE7192C"/>
    <w:rsid w:val="1D374056"/>
    <w:rsid w:val="1F66525A"/>
    <w:rsid w:val="21F81AE1"/>
    <w:rsid w:val="220F0251"/>
    <w:rsid w:val="23CE5C0A"/>
    <w:rsid w:val="2D8E1E82"/>
    <w:rsid w:val="2E2977EC"/>
    <w:rsid w:val="32F83B54"/>
    <w:rsid w:val="338A6A67"/>
    <w:rsid w:val="338D69D1"/>
    <w:rsid w:val="34D206AA"/>
    <w:rsid w:val="37062F6A"/>
    <w:rsid w:val="385F7C36"/>
    <w:rsid w:val="3D6C393A"/>
    <w:rsid w:val="3DD77BAC"/>
    <w:rsid w:val="3F8225A8"/>
    <w:rsid w:val="3FD414E4"/>
    <w:rsid w:val="415A4D31"/>
    <w:rsid w:val="434207AA"/>
    <w:rsid w:val="43437B4E"/>
    <w:rsid w:val="484E5EF8"/>
    <w:rsid w:val="490B5F77"/>
    <w:rsid w:val="4A420066"/>
    <w:rsid w:val="4BBF1C1E"/>
    <w:rsid w:val="4E8E0ED1"/>
    <w:rsid w:val="537406FA"/>
    <w:rsid w:val="54670785"/>
    <w:rsid w:val="557767FC"/>
    <w:rsid w:val="59036C6A"/>
    <w:rsid w:val="604E1FA4"/>
    <w:rsid w:val="610F2397"/>
    <w:rsid w:val="62C54FED"/>
    <w:rsid w:val="671201D0"/>
    <w:rsid w:val="674548F2"/>
    <w:rsid w:val="6C1A54E9"/>
    <w:rsid w:val="6CD1124C"/>
    <w:rsid w:val="720535FB"/>
    <w:rsid w:val="736E784A"/>
    <w:rsid w:val="74E60C5D"/>
    <w:rsid w:val="763F0102"/>
    <w:rsid w:val="777D59E2"/>
    <w:rsid w:val="79F24FBC"/>
    <w:rsid w:val="7A342CD0"/>
    <w:rsid w:val="7B2C38BF"/>
    <w:rsid w:val="7D6C3B33"/>
    <w:rsid w:val="7D8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qFormat/>
    <w:uiPriority w:val="0"/>
    <w:rPr>
      <w:rFonts w:ascii="仿宋_GB2312" w:hAnsi="Arial" w:eastAsia="仿宋_GB2312"/>
      <w:sz w:val="32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1074</Words>
  <Characters>1112</Characters>
  <Lines>7</Lines>
  <Paragraphs>1</Paragraphs>
  <TotalTime>0</TotalTime>
  <ScaleCrop>false</ScaleCrop>
  <LinksUpToDate>false</LinksUpToDate>
  <CharactersWithSpaces>1123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2018-03-16T01:11:00Z</dcterms:created>
  <dc:creator>User</dc:creator>
  <cp:lastModifiedBy>浮生</cp:lastModifiedBy>
  <cp:lastPrinted>2022-06-16T08:00:00Z</cp:lastPrinted>
  <dcterms:modified xsi:type="dcterms:W3CDTF">2022-06-20T06:25:40Z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CFB2B9AB5CFE4778A1D240024BCBCA15</vt:lpwstr>
  </property>
</Properties>
</file>